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CD" w:rsidRPr="000D2ECD" w:rsidRDefault="000D2ECD" w:rsidP="000D2ECD">
      <w:pPr>
        <w:shd w:val="clear" w:color="auto" w:fill="F5F5F5"/>
        <w:adjustRightInd/>
        <w:snapToGrid/>
        <w:spacing w:after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b/>
          <w:bCs/>
          <w:color w:val="333333"/>
          <w:sz w:val="24"/>
          <w:szCs w:val="24"/>
        </w:rPr>
        <w:t>参展要求</w:t>
      </w:r>
    </w:p>
    <w:p w:rsidR="000D2ECD" w:rsidRPr="000D2ECD" w:rsidRDefault="000D2ECD" w:rsidP="000D2ECD">
      <w:pPr>
        <w:numPr>
          <w:ilvl w:val="0"/>
          <w:numId w:val="1"/>
        </w:numPr>
        <w:shd w:val="clear" w:color="auto" w:fill="F5F5F5"/>
        <w:adjustRightInd/>
        <w:snapToGrid/>
        <w:spacing w:after="0" w:line="390" w:lineRule="atLeast"/>
        <w:ind w:left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．参展单位必须持有合法有效的营业执照</w:t>
      </w:r>
      <w:r w:rsidRPr="000D2ECD">
        <w:rPr>
          <w:rFonts w:ascii="Helvetica" w:hAnsi="Helvetica" w:cs="Helvetica"/>
          <w:color w:val="333333"/>
          <w:sz w:val="21"/>
          <w:szCs w:val="21"/>
        </w:rPr>
        <w:t>，并向组委会提供以上证照的复印件。</w:t>
      </w:r>
    </w:p>
    <w:p w:rsidR="000D2ECD" w:rsidRPr="000D2ECD" w:rsidRDefault="000D2ECD" w:rsidP="000D2ECD">
      <w:pPr>
        <w:numPr>
          <w:ilvl w:val="0"/>
          <w:numId w:val="1"/>
        </w:numPr>
        <w:shd w:val="clear" w:color="auto" w:fill="F5F5F5"/>
        <w:adjustRightInd/>
        <w:snapToGrid/>
        <w:spacing w:after="0" w:line="390" w:lineRule="atLeast"/>
        <w:ind w:left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color w:val="333333"/>
          <w:sz w:val="21"/>
          <w:szCs w:val="21"/>
        </w:rPr>
        <w:t>2</w:t>
      </w:r>
      <w:r w:rsidRPr="000D2ECD">
        <w:rPr>
          <w:rFonts w:ascii="Helvetica" w:hAnsi="Helvetica" w:cs="Helvetica"/>
          <w:color w:val="333333"/>
          <w:sz w:val="21"/>
          <w:szCs w:val="21"/>
        </w:rPr>
        <w:t>．展品应为本邀请书所列的参展范围。</w:t>
      </w:r>
    </w:p>
    <w:p w:rsidR="000D2ECD" w:rsidRPr="000D2ECD" w:rsidRDefault="000D2ECD" w:rsidP="000D2ECD">
      <w:pPr>
        <w:numPr>
          <w:ilvl w:val="0"/>
          <w:numId w:val="1"/>
        </w:numPr>
        <w:shd w:val="clear" w:color="auto" w:fill="F5F5F5"/>
        <w:adjustRightInd/>
        <w:snapToGrid/>
        <w:spacing w:after="0" w:line="390" w:lineRule="atLeast"/>
        <w:ind w:left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color w:val="333333"/>
          <w:sz w:val="21"/>
          <w:szCs w:val="21"/>
        </w:rPr>
        <w:t>3</w:t>
      </w:r>
      <w:r w:rsidRPr="000D2ECD">
        <w:rPr>
          <w:rFonts w:ascii="Helvetica" w:hAnsi="Helvetica" w:cs="Helvetica"/>
          <w:color w:val="333333"/>
          <w:sz w:val="21"/>
          <w:szCs w:val="21"/>
        </w:rPr>
        <w:t>．参展企业应对展品质量安全作出承诺。</w:t>
      </w:r>
    </w:p>
    <w:p w:rsidR="000D2ECD" w:rsidRPr="000D2ECD" w:rsidRDefault="000D2ECD" w:rsidP="000D2ECD">
      <w:pPr>
        <w:numPr>
          <w:ilvl w:val="0"/>
          <w:numId w:val="1"/>
        </w:numPr>
        <w:shd w:val="clear" w:color="auto" w:fill="F5F5F5"/>
        <w:adjustRightInd/>
        <w:snapToGrid/>
        <w:spacing w:after="0" w:line="390" w:lineRule="atLeast"/>
        <w:ind w:left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color w:val="333333"/>
          <w:sz w:val="21"/>
          <w:szCs w:val="21"/>
        </w:rPr>
        <w:t>4</w:t>
      </w:r>
      <w:r w:rsidRPr="000D2ECD">
        <w:rPr>
          <w:rFonts w:ascii="Helvetica" w:hAnsi="Helvetica" w:cs="Helvetica"/>
          <w:color w:val="333333"/>
          <w:sz w:val="21"/>
          <w:szCs w:val="21"/>
        </w:rPr>
        <w:t>．在展览期间不拼摊、不占道，否则大会有权收回展位。</w:t>
      </w:r>
    </w:p>
    <w:p w:rsidR="000D2ECD" w:rsidRPr="000D2ECD" w:rsidRDefault="000D2ECD" w:rsidP="000D2ECD">
      <w:pPr>
        <w:numPr>
          <w:ilvl w:val="0"/>
          <w:numId w:val="1"/>
        </w:numPr>
        <w:shd w:val="clear" w:color="auto" w:fill="F5F5F5"/>
        <w:adjustRightInd/>
        <w:snapToGrid/>
        <w:spacing w:after="0" w:line="390" w:lineRule="atLeast"/>
        <w:ind w:left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color w:val="333333"/>
          <w:sz w:val="21"/>
          <w:szCs w:val="21"/>
        </w:rPr>
        <w:t>5</w:t>
      </w:r>
      <w:r w:rsidRPr="000D2ECD">
        <w:rPr>
          <w:rFonts w:ascii="Helvetica" w:hAnsi="Helvetica" w:cs="Helvetica"/>
          <w:color w:val="333333"/>
          <w:sz w:val="21"/>
          <w:szCs w:val="21"/>
        </w:rPr>
        <w:t>．遵守知识产权、展览秩序等大会各项规定，服从</w:t>
      </w:r>
      <w:r>
        <w:rPr>
          <w:rFonts w:ascii="Helvetica" w:hAnsi="Helvetica" w:cs="Helvetica" w:hint="eastAsia"/>
          <w:color w:val="333333"/>
          <w:sz w:val="21"/>
          <w:szCs w:val="21"/>
        </w:rPr>
        <w:t>住博</w:t>
      </w:r>
      <w:r w:rsidRPr="000D2ECD">
        <w:rPr>
          <w:rFonts w:ascii="Helvetica" w:hAnsi="Helvetica" w:cs="Helvetica"/>
          <w:color w:val="333333"/>
          <w:sz w:val="21"/>
          <w:szCs w:val="21"/>
        </w:rPr>
        <w:t>会现场工作人员管理。</w:t>
      </w:r>
    </w:p>
    <w:p w:rsidR="000D2ECD" w:rsidRPr="000D2ECD" w:rsidRDefault="000D2ECD" w:rsidP="000D2ECD">
      <w:pPr>
        <w:shd w:val="clear" w:color="auto" w:fill="F5F5F5"/>
        <w:adjustRightInd/>
        <w:snapToGrid/>
        <w:spacing w:after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b/>
          <w:bCs/>
          <w:color w:val="333333"/>
          <w:sz w:val="24"/>
          <w:szCs w:val="24"/>
        </w:rPr>
        <w:t>参展程序</w:t>
      </w:r>
    </w:p>
    <w:p w:rsidR="000D2ECD" w:rsidRPr="000D2ECD" w:rsidRDefault="000D2ECD" w:rsidP="000D2ECD">
      <w:pPr>
        <w:numPr>
          <w:ilvl w:val="0"/>
          <w:numId w:val="2"/>
        </w:numPr>
        <w:shd w:val="clear" w:color="auto" w:fill="F5F5F5"/>
        <w:adjustRightInd/>
        <w:snapToGrid/>
        <w:spacing w:after="0" w:line="390" w:lineRule="atLeast"/>
        <w:ind w:left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color w:val="333333"/>
          <w:sz w:val="21"/>
          <w:szCs w:val="21"/>
        </w:rPr>
        <w:t>1</w:t>
      </w:r>
      <w:r w:rsidRPr="000D2ECD">
        <w:rPr>
          <w:rFonts w:ascii="Helvetica" w:hAnsi="Helvetica" w:cs="Helvetica"/>
          <w:color w:val="333333"/>
          <w:sz w:val="21"/>
          <w:szCs w:val="21"/>
        </w:rPr>
        <w:t>．组团参展和企业参展，可以直接向</w:t>
      </w:r>
      <w:r>
        <w:rPr>
          <w:rFonts w:ascii="Helvetica" w:hAnsi="Helvetica" w:cs="Helvetica" w:hint="eastAsia"/>
          <w:color w:val="333333"/>
          <w:sz w:val="21"/>
          <w:szCs w:val="21"/>
        </w:rPr>
        <w:t>住</w:t>
      </w:r>
      <w:r w:rsidRPr="000D2ECD">
        <w:rPr>
          <w:rFonts w:ascii="Helvetica" w:hAnsi="Helvetica" w:cs="Helvetica"/>
          <w:color w:val="333333"/>
          <w:sz w:val="21"/>
          <w:szCs w:val="21"/>
        </w:rPr>
        <w:t>博会组委会提出申请。</w:t>
      </w:r>
    </w:p>
    <w:p w:rsidR="000D2ECD" w:rsidRPr="000D2ECD" w:rsidRDefault="000D2ECD" w:rsidP="000D2ECD">
      <w:pPr>
        <w:numPr>
          <w:ilvl w:val="0"/>
          <w:numId w:val="2"/>
        </w:numPr>
        <w:shd w:val="clear" w:color="auto" w:fill="F5F5F5"/>
        <w:adjustRightInd/>
        <w:snapToGrid/>
        <w:spacing w:after="0" w:line="390" w:lineRule="atLeast"/>
        <w:ind w:left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color w:val="333333"/>
          <w:sz w:val="21"/>
          <w:szCs w:val="21"/>
        </w:rPr>
        <w:t>2</w:t>
      </w:r>
      <w:r w:rsidRPr="000D2ECD">
        <w:rPr>
          <w:rFonts w:ascii="Helvetica" w:hAnsi="Helvetica" w:cs="Helvetica"/>
          <w:color w:val="333333"/>
          <w:sz w:val="21"/>
          <w:szCs w:val="21"/>
        </w:rPr>
        <w:t>．申请单位通过</w:t>
      </w:r>
      <w:r>
        <w:rPr>
          <w:rFonts w:ascii="Helvetica" w:hAnsi="Helvetica" w:cs="Helvetica" w:hint="eastAsia"/>
          <w:color w:val="333333"/>
          <w:sz w:val="21"/>
          <w:szCs w:val="21"/>
        </w:rPr>
        <w:t>17</w:t>
      </w:r>
      <w:r>
        <w:rPr>
          <w:rFonts w:ascii="Helvetica" w:hAnsi="Helvetica" w:cs="Helvetica" w:hint="eastAsia"/>
          <w:color w:val="333333"/>
          <w:sz w:val="21"/>
          <w:szCs w:val="21"/>
        </w:rPr>
        <w:t>活动吧或者</w:t>
      </w:r>
      <w:r w:rsidRPr="000D2ECD">
        <w:rPr>
          <w:rFonts w:ascii="Helvetica" w:hAnsi="Helvetica" w:cs="Helvetica"/>
          <w:color w:val="333333"/>
          <w:sz w:val="21"/>
          <w:szCs w:val="21"/>
        </w:rPr>
        <w:t>网上报名系统进行申报。</w:t>
      </w:r>
    </w:p>
    <w:p w:rsidR="000D2ECD" w:rsidRPr="000D2ECD" w:rsidRDefault="000D2ECD" w:rsidP="000D2ECD">
      <w:pPr>
        <w:numPr>
          <w:ilvl w:val="0"/>
          <w:numId w:val="2"/>
        </w:numPr>
        <w:shd w:val="clear" w:color="auto" w:fill="F5F5F5"/>
        <w:adjustRightInd/>
        <w:snapToGrid/>
        <w:spacing w:after="0" w:line="390" w:lineRule="atLeast"/>
        <w:ind w:left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color w:val="333333"/>
          <w:sz w:val="21"/>
          <w:szCs w:val="21"/>
        </w:rPr>
        <w:t>3</w:t>
      </w:r>
      <w:r w:rsidRPr="000D2ECD">
        <w:rPr>
          <w:rFonts w:ascii="Helvetica" w:hAnsi="Helvetica" w:cs="Helvetica"/>
          <w:color w:val="333333"/>
          <w:sz w:val="21"/>
          <w:szCs w:val="21"/>
        </w:rPr>
        <w:t>．申请单位在展位签订一周内将参展费用汇至组委会指定账户，请将银行汇款底单传真到组委会办公室。</w:t>
      </w:r>
    </w:p>
    <w:p w:rsidR="000D2ECD" w:rsidRPr="000D2ECD" w:rsidRDefault="000D2ECD" w:rsidP="000D2ECD">
      <w:pPr>
        <w:numPr>
          <w:ilvl w:val="0"/>
          <w:numId w:val="2"/>
        </w:numPr>
        <w:shd w:val="clear" w:color="auto" w:fill="F5F5F5"/>
        <w:adjustRightInd/>
        <w:snapToGrid/>
        <w:spacing w:after="0" w:line="390" w:lineRule="atLeast"/>
        <w:ind w:left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color w:val="333333"/>
          <w:sz w:val="21"/>
          <w:szCs w:val="21"/>
        </w:rPr>
        <w:t>4</w:t>
      </w:r>
      <w:r w:rsidRPr="000D2ECD">
        <w:rPr>
          <w:rFonts w:ascii="Helvetica" w:hAnsi="Helvetica" w:cs="Helvetica"/>
          <w:color w:val="333333"/>
          <w:sz w:val="21"/>
          <w:szCs w:val="21"/>
        </w:rPr>
        <w:t>．展位分配原则：</w:t>
      </w:r>
      <w:r w:rsidRPr="000D2ECD">
        <w:rPr>
          <w:rFonts w:ascii="Helvetica" w:hAnsi="Helvetica" w:cs="Helvetica"/>
          <w:color w:val="333333"/>
          <w:sz w:val="21"/>
          <w:szCs w:val="21"/>
        </w:rPr>
        <w:t>“</w:t>
      </w:r>
      <w:r w:rsidRPr="000D2ECD">
        <w:rPr>
          <w:rFonts w:ascii="Helvetica" w:hAnsi="Helvetica" w:cs="Helvetica"/>
          <w:color w:val="333333"/>
          <w:sz w:val="21"/>
          <w:szCs w:val="21"/>
        </w:rPr>
        <w:t>先申请，先付款，先安排</w:t>
      </w:r>
      <w:r w:rsidRPr="000D2ECD">
        <w:rPr>
          <w:rFonts w:ascii="Helvetica" w:hAnsi="Helvetica" w:cs="Helvetica"/>
          <w:color w:val="333333"/>
          <w:sz w:val="21"/>
          <w:szCs w:val="21"/>
        </w:rPr>
        <w:t>”</w:t>
      </w:r>
      <w:r w:rsidRPr="000D2ECD">
        <w:rPr>
          <w:rFonts w:ascii="Helvetica" w:hAnsi="Helvetica" w:cs="Helvetica"/>
          <w:color w:val="333333"/>
          <w:sz w:val="21"/>
          <w:szCs w:val="21"/>
        </w:rPr>
        <w:t>。</w:t>
      </w:r>
    </w:p>
    <w:p w:rsidR="000D2ECD" w:rsidRPr="000D2ECD" w:rsidRDefault="000D2ECD" w:rsidP="000D2ECD">
      <w:pPr>
        <w:numPr>
          <w:ilvl w:val="0"/>
          <w:numId w:val="2"/>
        </w:numPr>
        <w:shd w:val="clear" w:color="auto" w:fill="F5F5F5"/>
        <w:adjustRightInd/>
        <w:snapToGrid/>
        <w:spacing w:after="0" w:line="390" w:lineRule="atLeast"/>
        <w:ind w:left="0"/>
        <w:rPr>
          <w:rFonts w:ascii="Helvetica" w:hAnsi="Helvetica" w:cs="Helvetica"/>
          <w:color w:val="333333"/>
          <w:sz w:val="21"/>
          <w:szCs w:val="21"/>
        </w:rPr>
      </w:pPr>
      <w:r w:rsidRPr="000D2ECD">
        <w:rPr>
          <w:rFonts w:ascii="Helvetica" w:hAnsi="Helvetica" w:cs="Helvetica"/>
          <w:color w:val="333333"/>
          <w:sz w:val="21"/>
          <w:szCs w:val="21"/>
        </w:rPr>
        <w:t>5</w:t>
      </w:r>
      <w:r w:rsidRPr="000D2ECD">
        <w:rPr>
          <w:rFonts w:ascii="Helvetica" w:hAnsi="Helvetica" w:cs="Helvetica"/>
          <w:color w:val="333333"/>
          <w:sz w:val="21"/>
          <w:szCs w:val="21"/>
        </w:rPr>
        <w:t>．组委会在收到展位费后，将于</w:t>
      </w:r>
      <w:r>
        <w:rPr>
          <w:rFonts w:ascii="Helvetica" w:hAnsi="Helvetica" w:cs="Helvetica" w:hint="eastAsia"/>
          <w:color w:val="333333"/>
          <w:sz w:val="21"/>
          <w:szCs w:val="21"/>
        </w:rPr>
        <w:t>相应时间</w:t>
      </w:r>
      <w:r w:rsidRPr="000D2ECD">
        <w:rPr>
          <w:rFonts w:ascii="Helvetica" w:hAnsi="Helvetica" w:cs="Helvetica"/>
          <w:color w:val="333333"/>
          <w:sz w:val="21"/>
          <w:szCs w:val="21"/>
        </w:rPr>
        <w:t>寄出经确认的展位图。</w:t>
      </w:r>
    </w:p>
    <w:p w:rsidR="00723381" w:rsidRPr="00723381" w:rsidRDefault="00723381" w:rsidP="00723381">
      <w:pPr>
        <w:pStyle w:val="a4"/>
        <w:numPr>
          <w:ilvl w:val="0"/>
          <w:numId w:val="4"/>
        </w:numPr>
        <w:shd w:val="clear" w:color="auto" w:fill="F8F8F8"/>
        <w:adjustRightInd/>
        <w:snapToGrid/>
        <w:spacing w:after="0"/>
        <w:ind w:right="435" w:firstLineChars="0"/>
        <w:jc w:val="center"/>
        <w:rPr>
          <w:rFonts w:ascii="微软雅黑" w:hAnsi="微软雅黑" w:cs="宋体"/>
          <w:sz w:val="24"/>
          <w:szCs w:val="24"/>
          <w:lang/>
        </w:rPr>
      </w:pPr>
      <w:r w:rsidRPr="00723381">
        <w:rPr>
          <w:rFonts w:ascii="微软雅黑" w:hAnsi="微软雅黑" w:cs="宋体" w:hint="eastAsia"/>
          <w:b/>
          <w:bCs/>
          <w:sz w:val="24"/>
          <w:szCs w:val="24"/>
          <w:lang/>
        </w:rPr>
        <w:t>参展须知</w:t>
      </w:r>
    </w:p>
    <w:p w:rsidR="004358AB" w:rsidRDefault="00723381" w:rsidP="00723381">
      <w:pPr>
        <w:pStyle w:val="a4"/>
        <w:numPr>
          <w:ilvl w:val="0"/>
          <w:numId w:val="4"/>
        </w:numPr>
        <w:spacing w:line="220" w:lineRule="atLeast"/>
        <w:ind w:firstLineChars="0"/>
      </w:pPr>
      <w:r w:rsidRPr="00723381">
        <w:rPr>
          <w:rFonts w:ascii="微软雅黑" w:hAnsi="微软雅黑" w:cs="宋体" w:hint="eastAsia"/>
          <w:sz w:val="24"/>
          <w:szCs w:val="24"/>
          <w:lang/>
        </w:rPr>
        <w:br/>
      </w:r>
      <w:r w:rsidRPr="00723381">
        <w:rPr>
          <w:rFonts w:ascii="微软雅黑" w:hAnsi="微软雅黑" w:cs="宋体" w:hint="eastAsia"/>
          <w:b/>
          <w:bCs/>
          <w:sz w:val="24"/>
          <w:szCs w:val="24"/>
          <w:lang/>
        </w:rPr>
        <w:t>活动申请：</w:t>
      </w:r>
      <w:r w:rsidRPr="00723381">
        <w:rPr>
          <w:rFonts w:ascii="微软雅黑" w:hAnsi="微软雅黑" w:cs="宋体" w:hint="eastAsia"/>
          <w:sz w:val="24"/>
          <w:szCs w:val="24"/>
          <w:lang/>
        </w:rPr>
        <w:t>互动体验区活动、展厅内各类演出及活动（包括新闻发布会、特别演出等，不包括模特静态表演）均按时段管理，展商须提前向组委会申报具体方案，经组委会批准后在规定的时段进行。同一展馆同一时段原则上不安排2个以上品牌的推广活动。</w:t>
      </w:r>
      <w:r w:rsidRPr="00723381">
        <w:rPr>
          <w:rFonts w:ascii="微软雅黑" w:hAnsi="微软雅黑" w:cs="宋体" w:hint="eastAsia"/>
          <w:sz w:val="24"/>
          <w:szCs w:val="24"/>
          <w:lang/>
        </w:rPr>
        <w:br/>
      </w:r>
      <w:r w:rsidRPr="00723381">
        <w:rPr>
          <w:rFonts w:ascii="微软雅黑" w:hAnsi="微软雅黑" w:cs="宋体" w:hint="eastAsia"/>
          <w:sz w:val="24"/>
          <w:szCs w:val="24"/>
          <w:lang/>
        </w:rPr>
        <w:br/>
      </w:r>
      <w:r w:rsidRPr="00723381">
        <w:rPr>
          <w:rFonts w:ascii="微软雅黑" w:hAnsi="微软雅黑" w:cs="宋体" w:hint="eastAsia"/>
          <w:b/>
          <w:bCs/>
          <w:sz w:val="24"/>
          <w:szCs w:val="24"/>
          <w:lang/>
        </w:rPr>
        <w:t>标准展位配置：</w:t>
      </w:r>
      <w:r w:rsidRPr="00723381">
        <w:rPr>
          <w:rFonts w:ascii="微软雅黑" w:hAnsi="微软雅黑" w:cs="宋体" w:hint="eastAsia"/>
          <w:sz w:val="24"/>
          <w:szCs w:val="24"/>
          <w:lang/>
        </w:rPr>
        <w:t>三面围板、中文楣板、两盏射灯、一个电源插座（限定功率300W）、地毯、一张咨询桌、一个纸篓、两把椅子（空地和特装展位不含以上配置）、会场保安及清洁。参展商可在此标准配置的基础上，向展会指定总搭建商申请更高标准的展台升级配置，所增加的费用由展商自行向总搭建商支付。</w:t>
      </w:r>
      <w:r w:rsidRPr="00723381">
        <w:rPr>
          <w:rFonts w:ascii="微软雅黑" w:hAnsi="微软雅黑" w:cs="宋体" w:hint="eastAsia"/>
          <w:sz w:val="24"/>
          <w:szCs w:val="24"/>
          <w:lang/>
        </w:rPr>
        <w:br/>
      </w:r>
      <w:r w:rsidRPr="00723381">
        <w:rPr>
          <w:rFonts w:ascii="微软雅黑" w:hAnsi="微软雅黑" w:cs="宋体" w:hint="eastAsia"/>
          <w:sz w:val="24"/>
          <w:szCs w:val="24"/>
          <w:lang/>
        </w:rPr>
        <w:br/>
      </w:r>
      <w:r w:rsidRPr="00723381">
        <w:rPr>
          <w:rFonts w:ascii="微软雅黑" w:hAnsi="微软雅黑" w:cs="宋体" w:hint="eastAsia"/>
          <w:b/>
          <w:bCs/>
          <w:sz w:val="24"/>
          <w:szCs w:val="24"/>
          <w:lang/>
        </w:rPr>
        <w:t>特装展位搭建：</w:t>
      </w:r>
      <w:r w:rsidRPr="00723381">
        <w:rPr>
          <w:rFonts w:ascii="微软雅黑" w:hAnsi="微软雅黑" w:cs="宋体" w:hint="eastAsia"/>
          <w:sz w:val="24"/>
          <w:szCs w:val="24"/>
          <w:lang/>
        </w:rPr>
        <w:t>特装展位的展商将自行搭建展台，但展台搭建方案包括搭建材料等资料需要在规定日期（详见展商手册具体规定）递交至组委会指定机构以便获得消防和组委会批准。有关费用如电源费、场地管理费等由展商另行缴纳，特装展位的价格不含此类费用。为保证展会整体效果和消防安全，组委会有权对现场展位进行必要调整。</w:t>
      </w:r>
      <w:r w:rsidRPr="00723381">
        <w:rPr>
          <w:rFonts w:ascii="微软雅黑" w:hAnsi="微软雅黑" w:cs="宋体" w:hint="eastAsia"/>
          <w:sz w:val="24"/>
          <w:szCs w:val="24"/>
          <w:lang/>
        </w:rPr>
        <w:br/>
      </w:r>
      <w:r w:rsidRPr="00723381">
        <w:rPr>
          <w:rFonts w:ascii="微软雅黑" w:hAnsi="微软雅黑" w:cs="宋体" w:hint="eastAsia"/>
          <w:sz w:val="24"/>
          <w:szCs w:val="24"/>
          <w:lang/>
        </w:rPr>
        <w:br/>
      </w:r>
      <w:r w:rsidRPr="00723381">
        <w:rPr>
          <w:rFonts w:ascii="微软雅黑" w:hAnsi="微软雅黑" w:cs="宋体" w:hint="eastAsia"/>
          <w:b/>
          <w:bCs/>
          <w:sz w:val="24"/>
          <w:szCs w:val="24"/>
          <w:lang/>
        </w:rPr>
        <w:t>音响控制：</w:t>
      </w:r>
      <w:r w:rsidRPr="00723381">
        <w:rPr>
          <w:rFonts w:ascii="微软雅黑" w:hAnsi="微软雅黑" w:cs="宋体" w:hint="eastAsia"/>
          <w:sz w:val="24"/>
          <w:szCs w:val="24"/>
          <w:lang/>
        </w:rPr>
        <w:t>为了保证展示效果，展览期间所有展位内音响音量必须控制在70分贝以内（演出及活动时不超过85分贝），扬声器必须朝向展台</w:t>
      </w:r>
      <w:r w:rsidRPr="00723381">
        <w:rPr>
          <w:rFonts w:ascii="微软雅黑" w:hAnsi="微软雅黑" w:cs="宋体" w:hint="eastAsia"/>
          <w:sz w:val="24"/>
          <w:szCs w:val="24"/>
          <w:lang/>
        </w:rPr>
        <w:lastRenderedPageBreak/>
        <w:t>内部，若影响到周围其他展位，组委会将采取措施加以纠正。</w:t>
      </w:r>
      <w:r w:rsidRPr="00723381">
        <w:rPr>
          <w:rFonts w:ascii="微软雅黑" w:hAnsi="微软雅黑" w:cs="宋体" w:hint="eastAsia"/>
          <w:sz w:val="24"/>
          <w:szCs w:val="24"/>
          <w:lang/>
        </w:rPr>
        <w:br/>
      </w:r>
      <w:r w:rsidRPr="00723381">
        <w:rPr>
          <w:rFonts w:ascii="微软雅黑" w:hAnsi="微软雅黑" w:cs="宋体" w:hint="eastAsia"/>
          <w:sz w:val="24"/>
          <w:szCs w:val="24"/>
          <w:lang/>
        </w:rPr>
        <w:br/>
      </w:r>
      <w:r w:rsidRPr="00723381">
        <w:rPr>
          <w:rFonts w:ascii="微软雅黑" w:hAnsi="微软雅黑" w:cs="宋体" w:hint="eastAsia"/>
          <w:b/>
          <w:bCs/>
          <w:sz w:val="24"/>
          <w:szCs w:val="24"/>
          <w:lang/>
        </w:rPr>
        <w:t>运输管理：</w:t>
      </w:r>
      <w:r w:rsidRPr="00723381">
        <w:rPr>
          <w:rFonts w:ascii="微软雅黑" w:hAnsi="微软雅黑" w:cs="宋体" w:hint="eastAsia"/>
          <w:sz w:val="24"/>
          <w:szCs w:val="24"/>
          <w:lang/>
        </w:rPr>
        <w:t>各展位的物流通道已被规划。运货车辆到达展馆后，应按照排定的进场顺序及指定的运输通道进入指定的卸货位置卸载，待命车辆需停放至指定停车位置。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2827"/>
    <w:multiLevelType w:val="multilevel"/>
    <w:tmpl w:val="6BCA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64D86"/>
    <w:multiLevelType w:val="multilevel"/>
    <w:tmpl w:val="BC2E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67B4A"/>
    <w:multiLevelType w:val="multilevel"/>
    <w:tmpl w:val="18F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5088C"/>
    <w:multiLevelType w:val="multilevel"/>
    <w:tmpl w:val="03D2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1179D"/>
    <w:rsid w:val="000D2ECD"/>
    <w:rsid w:val="00304B7D"/>
    <w:rsid w:val="00323B43"/>
    <w:rsid w:val="003D37D8"/>
    <w:rsid w:val="00426133"/>
    <w:rsid w:val="004358AB"/>
    <w:rsid w:val="0072338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ECD"/>
    <w:rPr>
      <w:b/>
      <w:bCs/>
    </w:rPr>
  </w:style>
  <w:style w:type="paragraph" w:styleId="a4">
    <w:name w:val="List Paragraph"/>
    <w:basedOn w:val="a"/>
    <w:uiPriority w:val="34"/>
    <w:qFormat/>
    <w:rsid w:val="007233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5674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2019-05-16T09:15:00Z</dcterms:modified>
</cp:coreProperties>
</file>